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336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336"/>
      </w:tblGrid>
      <w:tr w:rsidR="008A615B" w:rsidRPr="008A615B" w14:paraId="69521F4C" w14:textId="77777777" w:rsidTr="008A615B">
        <w:trPr>
          <w:trHeight w:val="33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4F0AE" w14:textId="43910250" w:rsidR="008A615B" w:rsidRPr="00C962D4" w:rsidRDefault="00F2747E" w:rsidP="00C962D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  <w:r w:rsidRPr="00F2747E">
              <w:rPr>
                <w:rFonts w:ascii="Times New Roman" w:eastAsia="標楷體" w:hAnsi="Times New Roman" w:cs="Times New Roman" w:hint="eastAsia"/>
                <w:color w:val="000000"/>
                <w:kern w:val="0"/>
                <w:sz w:val="32"/>
                <w:szCs w:val="32"/>
              </w:rPr>
              <w:t>臺東縣關山鎮漁戶數及漁戶人口數</w:t>
            </w:r>
            <w:r w:rsidR="008A615B" w:rsidRPr="00C962D4"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  <w:t>編製說明</w:t>
            </w:r>
          </w:p>
        </w:tc>
      </w:tr>
      <w:tr w:rsidR="008A615B" w:rsidRPr="008A615B" w14:paraId="00B35DCE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78985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一、目的：明瞭本</w:t>
            </w:r>
            <w:r w:rsidRPr="00C962D4">
              <w:rPr>
                <w:rFonts w:ascii="Times New Roman" w:eastAsia="標楷體" w:hAnsi="Times New Roman" w:cs="Times New Roman"/>
                <w:color w:val="FF0000"/>
                <w:kern w:val="0"/>
                <w:sz w:val="26"/>
                <w:szCs w:val="26"/>
              </w:rPr>
              <w:t>鄉</w:t>
            </w:r>
            <w:r w:rsidR="00C962D4" w:rsidRPr="00C962D4">
              <w:rPr>
                <w:rFonts w:ascii="Times New Roman" w:eastAsia="標楷體" w:hAnsi="Times New Roman" w:cs="Times New Roman" w:hint="eastAsia"/>
                <w:color w:val="FF0000"/>
                <w:kern w:val="0"/>
                <w:sz w:val="26"/>
                <w:szCs w:val="26"/>
              </w:rPr>
              <w:t>(</w:t>
            </w:r>
            <w:r w:rsidRPr="00C962D4">
              <w:rPr>
                <w:rFonts w:ascii="Times New Roman" w:eastAsia="標楷體" w:hAnsi="Times New Roman" w:cs="Times New Roman"/>
                <w:color w:val="FF0000"/>
                <w:kern w:val="0"/>
                <w:sz w:val="26"/>
                <w:szCs w:val="26"/>
              </w:rPr>
              <w:t>鎮</w:t>
            </w:r>
            <w:r w:rsidR="00C962D4" w:rsidRPr="00C962D4">
              <w:rPr>
                <w:rFonts w:ascii="Times New Roman" w:eastAsia="標楷體" w:hAnsi="Times New Roman" w:cs="Times New Roman" w:hint="eastAsia"/>
                <w:color w:val="FF0000"/>
                <w:kern w:val="0"/>
                <w:sz w:val="26"/>
                <w:szCs w:val="26"/>
              </w:rPr>
              <w:t>、</w:t>
            </w:r>
            <w:r w:rsidRPr="00C962D4">
              <w:rPr>
                <w:rFonts w:ascii="Times New Roman" w:eastAsia="標楷體" w:hAnsi="Times New Roman" w:cs="Times New Roman"/>
                <w:color w:val="FF0000"/>
                <w:kern w:val="0"/>
                <w:sz w:val="26"/>
                <w:szCs w:val="26"/>
              </w:rPr>
              <w:t>市</w:t>
            </w:r>
            <w:r w:rsidR="00C962D4" w:rsidRPr="00C962D4">
              <w:rPr>
                <w:rFonts w:ascii="Times New Roman" w:eastAsia="標楷體" w:hAnsi="Times New Roman" w:cs="Times New Roman" w:hint="eastAsia"/>
                <w:color w:val="FF0000"/>
                <w:kern w:val="0"/>
                <w:sz w:val="26"/>
                <w:szCs w:val="26"/>
              </w:rPr>
              <w:t>)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漁戶及其家屬人口數量及其分佈情形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,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以供漁業主管機關作為計算漁民所得，及其他漁業行政措施。</w:t>
            </w:r>
          </w:p>
        </w:tc>
      </w:tr>
      <w:tr w:rsidR="008A615B" w:rsidRPr="008A615B" w14:paraId="4D077E62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25AEF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二、統計範圍及對象：本調查以本鄉鎮市戶籍所在地之漁戶及漁戶人口數為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準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。</w:t>
            </w:r>
          </w:p>
        </w:tc>
      </w:tr>
      <w:tr w:rsidR="008A615B" w:rsidRPr="008A615B" w14:paraId="0E5F7F1B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848D9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三、統計標準時間：以每年十二月三十一日之事實為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準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。</w:t>
            </w:r>
          </w:p>
        </w:tc>
      </w:tr>
      <w:tr w:rsidR="008A615B" w:rsidRPr="008A615B" w14:paraId="79CE7EF6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BF339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四、分類標準：均分遠洋、近海、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沿岸、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海面養殖、內陸漁撈、內陸養殖等六類加以統計。</w:t>
            </w:r>
          </w:p>
        </w:tc>
      </w:tr>
      <w:tr w:rsidR="008A615B" w:rsidRPr="008A615B" w14:paraId="798B8876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9987C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五、有關法令規章：根據統計法、漁業法、漁業法施行細則。</w:t>
            </w:r>
          </w:p>
        </w:tc>
      </w:tr>
      <w:tr w:rsidR="008A615B" w:rsidRPr="008A615B" w14:paraId="6D615392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F18A4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六、統計項目定義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(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或說明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)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：</w:t>
            </w:r>
          </w:p>
        </w:tc>
      </w:tr>
      <w:tr w:rsidR="008A615B" w:rsidRPr="008A615B" w14:paraId="1769D55C" w14:textId="77777777" w:rsidTr="008A615B">
        <w:trPr>
          <w:trHeight w:val="612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FFBF4" w14:textId="77777777" w:rsidR="00C962D4" w:rsidRPr="00C962D4" w:rsidRDefault="008A615B" w:rsidP="00C962D4">
            <w:pPr>
              <w:pStyle w:val="a3"/>
              <w:widowControl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漁戶：不論漁業經營者（僅投資漁業而未負實際經營責任者除外）</w:t>
            </w:r>
          </w:p>
          <w:p w14:paraId="4B01997B" w14:textId="77777777" w:rsidR="008A615B" w:rsidRPr="00C962D4" w:rsidRDefault="008A615B" w:rsidP="00C962D4">
            <w:pPr>
              <w:pStyle w:val="a3"/>
              <w:widowControl/>
              <w:ind w:leftChars="0" w:left="960"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或被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僱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從事漁業者（限被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僱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直接從事漁撈或養殖工作者），凡其漁業收入達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該戶總收入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二分之一以上者為漁戶，戶籍登記者為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準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，漁戶中有兼營二種以上之漁業者，應以其收入最高之一種為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準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。</w:t>
            </w:r>
          </w:p>
        </w:tc>
      </w:tr>
      <w:tr w:rsidR="008A615B" w:rsidRPr="008A615B" w14:paraId="7643191D" w14:textId="77777777" w:rsidTr="008A615B">
        <w:trPr>
          <w:trHeight w:val="60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ADD72" w14:textId="77777777" w:rsidR="00C962D4" w:rsidRPr="00C962D4" w:rsidRDefault="008A615B" w:rsidP="00C962D4">
            <w:pPr>
              <w:pStyle w:val="a3"/>
              <w:widowControl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漁戶人口數：凡漁戶內之人口均視為漁戶人口數，如遠洋漁戶內</w:t>
            </w:r>
          </w:p>
          <w:p w14:paraId="517E5300" w14:textId="77777777" w:rsidR="008A615B" w:rsidRPr="00C962D4" w:rsidRDefault="008A615B" w:rsidP="00C962D4">
            <w:pPr>
              <w:pStyle w:val="a3"/>
              <w:widowControl/>
              <w:ind w:leftChars="0" w:left="960"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之人口，均列入遠洋漁戶人口計算。因就學或服役等關係，暫時遷出之人口，仍視為漁戶內人口；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惟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戶內如有共同居住，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但未負共同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生活義務之寄籍人口，則應予剔除。</w:t>
            </w:r>
          </w:p>
        </w:tc>
      </w:tr>
      <w:tr w:rsidR="008A615B" w:rsidRPr="008A615B" w14:paraId="0C95F569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75FE1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七、一般說明：</w:t>
            </w:r>
          </w:p>
        </w:tc>
      </w:tr>
      <w:tr w:rsidR="008A615B" w:rsidRPr="008A615B" w14:paraId="5F28EE37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4793C" w14:textId="77777777" w:rsidR="00C962D4" w:rsidRPr="00C962D4" w:rsidRDefault="008A615B" w:rsidP="00C962D4">
            <w:pPr>
              <w:pStyle w:val="a3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戶內如有共同居住，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但未負共同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生活義務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之寄藉人口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，如傭人，</w:t>
            </w:r>
          </w:p>
          <w:p w14:paraId="10DBE690" w14:textId="77777777" w:rsidR="008A615B" w:rsidRPr="00C962D4" w:rsidRDefault="008A615B" w:rsidP="00C962D4">
            <w:pPr>
              <w:pStyle w:val="a3"/>
              <w:widowControl/>
              <w:ind w:leftChars="0" w:left="975"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則應予除外。</w:t>
            </w:r>
          </w:p>
        </w:tc>
      </w:tr>
      <w:tr w:rsidR="008A615B" w:rsidRPr="008A615B" w14:paraId="141B62D6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78DE5" w14:textId="77777777" w:rsidR="008A615B" w:rsidRPr="00C962D4" w:rsidRDefault="00C962D4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6"/>
                <w:szCs w:val="26"/>
              </w:rPr>
              <w:t xml:space="preserve">    </w:t>
            </w:r>
            <w:r w:rsidR="008A615B"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(</w:t>
            </w:r>
            <w:r w:rsidR="008A615B"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二</w:t>
            </w:r>
            <w:r w:rsidR="008A615B"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)</w:t>
            </w:r>
            <w:r w:rsidR="008A615B"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因就學或服役等關係暫時遷出之人口，仍應視為其漁戶內之人口。</w:t>
            </w:r>
          </w:p>
        </w:tc>
      </w:tr>
      <w:tr w:rsidR="008A615B" w:rsidRPr="008A615B" w14:paraId="3DC160E8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B5AA5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八、資料蒐集方法及編製程序：根據本鄉鎮市漁民戶籍資料及漁業登記證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,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逐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項查記填表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送由漁業主管單位予以彙編。</w:t>
            </w:r>
          </w:p>
        </w:tc>
      </w:tr>
      <w:tr w:rsidR="008A615B" w:rsidRPr="008A615B" w14:paraId="6AE59B32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F6C96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九、編送對象：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本表編製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一式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3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份，先送主計室會核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後抽存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1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份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，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1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份自存，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1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份送</w:t>
            </w:r>
            <w:proofErr w:type="gramStart"/>
            <w:r w:rsidR="00C962D4">
              <w:rPr>
                <w:rFonts w:ascii="Times New Roman" w:eastAsia="標楷體" w:hAnsi="Times New Roman" w:cs="Times New Roman" w:hint="eastAsia"/>
                <w:color w:val="000000"/>
                <w:kern w:val="0"/>
                <w:sz w:val="26"/>
                <w:szCs w:val="26"/>
              </w:rPr>
              <w:t>臺</w:t>
            </w:r>
            <w:proofErr w:type="gramEnd"/>
            <w:r w:rsidR="00C962D4">
              <w:rPr>
                <w:rFonts w:ascii="Times New Roman" w:eastAsia="標楷體" w:hAnsi="Times New Roman" w:cs="Times New Roman" w:hint="eastAsia"/>
                <w:color w:val="000000"/>
                <w:kern w:val="0"/>
                <w:sz w:val="26"/>
                <w:szCs w:val="26"/>
              </w:rPr>
              <w:t>東縣政府農業處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。</w:t>
            </w:r>
          </w:p>
        </w:tc>
      </w:tr>
      <w:tr w:rsidR="008A615B" w:rsidRPr="008A615B" w14:paraId="0DEE9AD6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FABCD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十、統計用途：作為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編製本鄉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統計年報等書刊重要資料之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一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並提供各級長官及有關單位作為決策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之參據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。</w:t>
            </w:r>
          </w:p>
        </w:tc>
      </w:tr>
    </w:tbl>
    <w:p w14:paraId="15B6C289" w14:textId="77777777" w:rsidR="0072068F" w:rsidRPr="008A615B" w:rsidRDefault="0072068F"/>
    <w:sectPr w:rsidR="0072068F" w:rsidRPr="008A615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B5F47"/>
    <w:multiLevelType w:val="hybridMultilevel"/>
    <w:tmpl w:val="D592CB08"/>
    <w:lvl w:ilvl="0" w:tplc="A2CE3D4C">
      <w:start w:val="1"/>
      <w:numFmt w:val="taiwaneseCountingThousand"/>
      <w:lvlText w:val="(%1)"/>
      <w:lvlJc w:val="left"/>
      <w:pPr>
        <w:ind w:left="96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" w15:restartNumberingAfterBreak="0">
    <w:nsid w:val="291257F9"/>
    <w:multiLevelType w:val="hybridMultilevel"/>
    <w:tmpl w:val="688C5CE6"/>
    <w:lvl w:ilvl="0" w:tplc="B8E6E0DE">
      <w:start w:val="1"/>
      <w:numFmt w:val="taiwaneseCountingThousand"/>
      <w:lvlText w:val="(%1)"/>
      <w:lvlJc w:val="left"/>
      <w:pPr>
        <w:ind w:left="975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5" w:hanging="480"/>
      </w:pPr>
    </w:lvl>
    <w:lvl w:ilvl="2" w:tplc="0409001B" w:tentative="1">
      <w:start w:val="1"/>
      <w:numFmt w:val="lowerRoman"/>
      <w:lvlText w:val="%3."/>
      <w:lvlJc w:val="right"/>
      <w:pPr>
        <w:ind w:left="1965" w:hanging="480"/>
      </w:pPr>
    </w:lvl>
    <w:lvl w:ilvl="3" w:tplc="0409000F" w:tentative="1">
      <w:start w:val="1"/>
      <w:numFmt w:val="decimal"/>
      <w:lvlText w:val="%4."/>
      <w:lvlJc w:val="left"/>
      <w:pPr>
        <w:ind w:left="24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5" w:hanging="480"/>
      </w:pPr>
    </w:lvl>
    <w:lvl w:ilvl="5" w:tplc="0409001B" w:tentative="1">
      <w:start w:val="1"/>
      <w:numFmt w:val="lowerRoman"/>
      <w:lvlText w:val="%6."/>
      <w:lvlJc w:val="right"/>
      <w:pPr>
        <w:ind w:left="3405" w:hanging="480"/>
      </w:pPr>
    </w:lvl>
    <w:lvl w:ilvl="6" w:tplc="0409000F" w:tentative="1">
      <w:start w:val="1"/>
      <w:numFmt w:val="decimal"/>
      <w:lvlText w:val="%7."/>
      <w:lvlJc w:val="left"/>
      <w:pPr>
        <w:ind w:left="38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5" w:hanging="480"/>
      </w:pPr>
    </w:lvl>
    <w:lvl w:ilvl="8" w:tplc="0409001B" w:tentative="1">
      <w:start w:val="1"/>
      <w:numFmt w:val="lowerRoman"/>
      <w:lvlText w:val="%9."/>
      <w:lvlJc w:val="right"/>
      <w:pPr>
        <w:ind w:left="4845" w:hanging="480"/>
      </w:pPr>
    </w:lvl>
  </w:abstractNum>
  <w:num w:numId="1" w16cid:durableId="1541435276">
    <w:abstractNumId w:val="1"/>
  </w:num>
  <w:num w:numId="2" w16cid:durableId="1117143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615B"/>
    <w:rsid w:val="0072068F"/>
    <w:rsid w:val="008A615B"/>
    <w:rsid w:val="00C10FA8"/>
    <w:rsid w:val="00C962D4"/>
    <w:rsid w:val="00F2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DDE50"/>
  <w15:docId w15:val="{C6843605-F94E-4058-BFF6-CC45C94E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2D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02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</cp:revision>
  <dcterms:created xsi:type="dcterms:W3CDTF">2023-08-23T10:40:00Z</dcterms:created>
  <dcterms:modified xsi:type="dcterms:W3CDTF">2025-05-27T03:24:00Z</dcterms:modified>
</cp:coreProperties>
</file>